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48" w:rsidRDefault="00553F48" w:rsidP="00553F48">
      <w:r>
        <w:t xml:space="preserve">Дворец культуры имени Александра Сергеевича  Пушкина был одним из первых </w:t>
      </w:r>
      <w:proofErr w:type="spellStart"/>
      <w:r>
        <w:t>культурно-досуговых</w:t>
      </w:r>
      <w:proofErr w:type="spellEnd"/>
      <w:r>
        <w:t xml:space="preserve"> учреждений города Перми</w:t>
      </w:r>
      <w:proofErr w:type="gramStart"/>
      <w:r>
        <w:t>.</w:t>
      </w:r>
      <w:proofErr w:type="gramEnd"/>
      <w:r>
        <w:t xml:space="preserve"> Торжественное открытие дворца состоялось 6 ноября 1953 года, и было посвящено дню Октябрьской Социалистической революции. Два года строился Дворец Пушкина. Идея строительства принадлежала директору Пермского Домостроительного комбината Михаилу </w:t>
      </w:r>
      <w:proofErr w:type="spellStart"/>
      <w:r>
        <w:t>Шейману</w:t>
      </w:r>
      <w:proofErr w:type="spellEnd"/>
      <w:r>
        <w:t>.</w:t>
      </w:r>
    </w:p>
    <w:p w:rsidR="00553F48" w:rsidRDefault="00553F48" w:rsidP="00553F48">
      <w:r>
        <w:t>Если говорить об архитектуре Дворца, то он является образцом советской архитектуры в стиле Сталинского ампира. Люстры в вестибюле и фойе идентичны люстрам на московской станции метро «Комсомольская».</w:t>
      </w:r>
    </w:p>
    <w:p w:rsidR="00674818" w:rsidRDefault="00553F48" w:rsidP="00553F48">
      <w:r>
        <w:t>25 июня 1997 года Дворец стал муниципальным учреждением культуры города Перми.</w:t>
      </w:r>
    </w:p>
    <w:sectPr w:rsidR="00674818" w:rsidSect="00674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F48"/>
    <w:rsid w:val="00553F48"/>
    <w:rsid w:val="00674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Ноутбук</cp:lastModifiedBy>
  <cp:revision>1</cp:revision>
  <dcterms:created xsi:type="dcterms:W3CDTF">2026-06-26T16:56:00Z</dcterms:created>
  <dcterms:modified xsi:type="dcterms:W3CDTF">2026-06-26T16:59:00Z</dcterms:modified>
</cp:coreProperties>
</file>